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t xml:space="preserve">Комментарий:  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t xml:space="preserve">текст, выделенный черным цветом, трогать нельзя 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t>текст, выделенный зеленым цветом дан для примера – нужно изменить на свой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t>текст, выделенный красным цветом – комментарии, которые нужно удалить</w:t>
      </w:r>
    </w:p>
    <w:p w:rsidR="009420B2" w:rsidRDefault="009420B2" w:rsidP="009420B2">
      <w:pPr>
        <w:rPr>
          <w:rFonts w:ascii="Times New Roman" w:hAnsi="Times New Roman"/>
          <w:b/>
          <w:sz w:val="24"/>
          <w:szCs w:val="24"/>
        </w:rPr>
      </w:pPr>
    </w:p>
    <w:p w:rsidR="009420B2" w:rsidRPr="009420B2" w:rsidRDefault="009420B2" w:rsidP="009420B2">
      <w:pPr>
        <w:jc w:val="right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26307B">
        <w:rPr>
          <w:rFonts w:ascii="Times New Roman" w:hAnsi="Times New Roman"/>
          <w:b/>
          <w:sz w:val="24"/>
          <w:szCs w:val="24"/>
        </w:rPr>
        <w:t xml:space="preserve">Программа утверждена на заседании </w:t>
      </w:r>
      <w:r w:rsidRPr="009420B2">
        <w:rPr>
          <w:rFonts w:ascii="Times New Roman" w:hAnsi="Times New Roman"/>
          <w:b/>
          <w:color w:val="9BBB59" w:themeColor="accent3"/>
          <w:sz w:val="24"/>
          <w:szCs w:val="24"/>
        </w:rPr>
        <w:t>кафедры математического анализа</w:t>
      </w:r>
    </w:p>
    <w:p w:rsidR="009420B2" w:rsidRPr="009420B2" w:rsidRDefault="009420B2" w:rsidP="009420B2">
      <w:pPr>
        <w:jc w:val="right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b/>
          <w:color w:val="9BBB59" w:themeColor="accent3"/>
          <w:sz w:val="24"/>
          <w:szCs w:val="24"/>
        </w:rPr>
        <w:t>Протокол № 6 от 17 декабря 2014 г.</w:t>
      </w:r>
    </w:p>
    <w:p w:rsidR="009420B2" w:rsidRPr="003A3649" w:rsidRDefault="009420B2" w:rsidP="009420B2">
      <w:pPr>
        <w:rPr>
          <w:rFonts w:ascii="Times New Roman" w:hAnsi="Times New Roman"/>
          <w:i/>
          <w:sz w:val="24"/>
          <w:szCs w:val="24"/>
        </w:rPr>
      </w:pPr>
    </w:p>
    <w:p w:rsidR="009420B2" w:rsidRPr="003A3649" w:rsidRDefault="009420B2" w:rsidP="009420B2">
      <w:pPr>
        <w:jc w:val="center"/>
        <w:rPr>
          <w:rFonts w:ascii="Times New Roman" w:hAnsi="Times New Roman"/>
          <w:b/>
          <w:sz w:val="24"/>
          <w:szCs w:val="24"/>
        </w:rPr>
      </w:pPr>
      <w:r w:rsidRPr="003A3649">
        <w:rPr>
          <w:rFonts w:ascii="Times New Roman" w:hAnsi="Times New Roman"/>
          <w:b/>
          <w:sz w:val="24"/>
          <w:szCs w:val="24"/>
        </w:rPr>
        <w:t xml:space="preserve">Рабочая программа дисциплины (модуля) </w:t>
      </w:r>
    </w:p>
    <w:p w:rsidR="009420B2" w:rsidRPr="003A3649" w:rsidRDefault="009420B2" w:rsidP="009420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20B2" w:rsidRPr="009420B2" w:rsidRDefault="009420B2" w:rsidP="009420B2">
      <w:pPr>
        <w:rPr>
          <w:rFonts w:ascii="Times New Roman" w:hAnsi="Times New Roman"/>
          <w:color w:val="9BBB59" w:themeColor="accent3"/>
          <w:sz w:val="24"/>
          <w:szCs w:val="24"/>
        </w:rPr>
      </w:pPr>
      <w:r w:rsidRPr="0026307B">
        <w:rPr>
          <w:rFonts w:ascii="Times New Roman" w:hAnsi="Times New Roman"/>
          <w:sz w:val="24"/>
          <w:szCs w:val="24"/>
        </w:rPr>
        <w:t xml:space="preserve">1. Код и наименование дисциплины (модуля): 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>СПЕЦКУРС (годовой).</w:t>
      </w:r>
    </w:p>
    <w:p w:rsidR="009420B2" w:rsidRPr="008F6D4C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2811C2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2. Уровень высшего </w:t>
      </w:r>
      <w:r w:rsidRPr="002811C2">
        <w:rPr>
          <w:rFonts w:ascii="Times New Roman" w:hAnsi="Times New Roman"/>
          <w:sz w:val="24"/>
          <w:szCs w:val="24"/>
        </w:rPr>
        <w:t xml:space="preserve">образования – </w:t>
      </w:r>
      <w:proofErr w:type="spellStart"/>
      <w:r w:rsidRPr="009420B2">
        <w:rPr>
          <w:rFonts w:ascii="Times New Roman" w:hAnsi="Times New Roman"/>
          <w:color w:val="9BBB59" w:themeColor="accent3"/>
          <w:sz w:val="24"/>
          <w:szCs w:val="24"/>
        </w:rPr>
        <w:t>специалитет</w:t>
      </w:r>
      <w:proofErr w:type="spellEnd"/>
      <w:r w:rsidR="008F6D4C">
        <w:rPr>
          <w:rFonts w:ascii="Times New Roman" w:hAnsi="Times New Roman"/>
          <w:sz w:val="24"/>
          <w:szCs w:val="24"/>
        </w:rPr>
        <w:t>.</w:t>
      </w:r>
    </w:p>
    <w:p w:rsidR="009420B2" w:rsidRPr="002811C2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7D1562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3. Направление подготовки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01.05.01 </w:t>
      </w:r>
      <w:r w:rsidR="008F6D4C">
        <w:rPr>
          <w:rFonts w:ascii="Times New Roman" w:hAnsi="Times New Roman"/>
          <w:color w:val="9BBB59" w:themeColor="accent3"/>
          <w:sz w:val="24"/>
          <w:szCs w:val="24"/>
        </w:rPr>
        <w:t>«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>Фундаментальные математика и механика</w:t>
      </w:r>
      <w:r w:rsidR="008F6D4C">
        <w:rPr>
          <w:rFonts w:ascii="Times New Roman" w:hAnsi="Times New Roman"/>
          <w:color w:val="9BBB59" w:themeColor="accent3"/>
          <w:sz w:val="24"/>
          <w:szCs w:val="24"/>
        </w:rPr>
        <w:t>»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. Специализация: </w:t>
      </w:r>
      <w:r w:rsidR="008F6D4C">
        <w:rPr>
          <w:rFonts w:ascii="Times New Roman" w:hAnsi="Times New Roman"/>
          <w:color w:val="9BBB59" w:themeColor="accent3"/>
          <w:sz w:val="24"/>
          <w:szCs w:val="24"/>
        </w:rPr>
        <w:t>«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>Фундаментальная математика</w:t>
      </w:r>
      <w:r w:rsidR="008F6D4C">
        <w:rPr>
          <w:rFonts w:ascii="Times New Roman" w:hAnsi="Times New Roman"/>
          <w:color w:val="9BBB59" w:themeColor="accent3"/>
          <w:sz w:val="24"/>
          <w:szCs w:val="24"/>
        </w:rPr>
        <w:t>»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>.</w:t>
      </w: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9420B2" w:rsidRDefault="009420B2" w:rsidP="009420B2">
      <w:pPr>
        <w:rPr>
          <w:rFonts w:ascii="Times New Roman" w:hAnsi="Times New Roman"/>
          <w:color w:val="9BBB59" w:themeColor="accent3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4. Место дисциплины (модуля) в структуре ООП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>вариативная часть ООП. Является специальной дисциплиной (спецкурсом) для студентов 3-6 годов обучения, специализирующихся в данной научной области или смежной научной области, спецкурсом по выбору студента.</w:t>
      </w:r>
    </w:p>
    <w:p w:rsidR="009420B2" w:rsidRPr="009420B2" w:rsidRDefault="009420B2" w:rsidP="009420B2">
      <w:pPr>
        <w:rPr>
          <w:rFonts w:ascii="Times New Roman" w:hAnsi="Times New Roman"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>Освоение дисциплины необходимо для последующего изучения дисциплин образовательной программы: курсовая работа, научно-исследовательская практика, преддипломная практика, выпускная квалификационная работа.</w:t>
      </w: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5.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5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5"/>
        <w:gridCol w:w="7452"/>
      </w:tblGrid>
      <w:tr w:rsidR="009420B2" w:rsidRPr="0048609B" w:rsidTr="003D70EE">
        <w:trPr>
          <w:jc w:val="center"/>
        </w:trPr>
        <w:tc>
          <w:tcPr>
            <w:tcW w:w="7625" w:type="dxa"/>
          </w:tcPr>
          <w:p w:rsidR="009420B2" w:rsidRPr="00071931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452" w:type="dxa"/>
          </w:tcPr>
          <w:p w:rsidR="009420B2" w:rsidRPr="00624F62" w:rsidRDefault="009420B2" w:rsidP="003D70E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9420B2" w:rsidRPr="009420B2" w:rsidTr="003D70EE">
        <w:trPr>
          <w:jc w:val="center"/>
        </w:trPr>
        <w:tc>
          <w:tcPr>
            <w:tcW w:w="7625" w:type="dxa"/>
          </w:tcPr>
          <w:p w:rsidR="009420B2" w:rsidRPr="009420B2" w:rsidRDefault="009420B2" w:rsidP="003D70EE">
            <w:pPr>
              <w:spacing w:line="240" w:lineRule="auto"/>
              <w:rPr>
                <w:rFonts w:ascii="Times New Roman" w:hAnsi="Times New Roman"/>
                <w:color w:val="9BBB59" w:themeColor="accent3"/>
                <w:szCs w:val="24"/>
              </w:rPr>
            </w:pPr>
          </w:p>
          <w:p w:rsidR="009420B2" w:rsidRPr="009420B2" w:rsidRDefault="009420B2" w:rsidP="003D70EE">
            <w:pPr>
              <w:spacing w:line="240" w:lineRule="auto"/>
              <w:rPr>
                <w:rFonts w:ascii="Times New Roman" w:hAnsi="Times New Roman"/>
                <w:color w:val="9BBB59" w:themeColor="accent3"/>
                <w:szCs w:val="24"/>
              </w:rPr>
            </w:pPr>
            <w:r w:rsidRPr="009420B2">
              <w:rPr>
                <w:rFonts w:ascii="Times New Roman" w:hAnsi="Times New Roman"/>
                <w:color w:val="9BBB59" w:themeColor="accent3"/>
                <w:szCs w:val="24"/>
              </w:rPr>
              <w:t>СПК-1</w:t>
            </w:r>
          </w:p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 xml:space="preserve">владение специальными разделами фундаментальной математики, методами анализа и решения задач специализации </w:t>
            </w:r>
          </w:p>
        </w:tc>
        <w:tc>
          <w:tcPr>
            <w:tcW w:w="7452" w:type="dxa"/>
            <w:shd w:val="clear" w:color="auto" w:fill="auto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</w:p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Знание</w:t>
            </w:r>
            <w:r w:rsidRPr="009420B2">
              <w:rPr>
                <w:rFonts w:ascii="Times" w:hAnsi="Times"/>
                <w:color w:val="9BBB59" w:themeColor="accent3"/>
              </w:rPr>
              <w:t xml:space="preserve"> </w:t>
            </w:r>
            <w:r w:rsidRPr="009420B2">
              <w:rPr>
                <w:rFonts w:ascii="Times New Roman" w:hAnsi="Times New Roman"/>
                <w:color w:val="9BBB59" w:themeColor="accent3"/>
              </w:rPr>
              <w:t>специальных разделов действительного,  комплексного и функционального анализа</w:t>
            </w:r>
          </w:p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Умение применять методы анализа и решения задач специализации</w:t>
            </w:r>
          </w:p>
        </w:tc>
      </w:tr>
    </w:tbl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9420B2" w:rsidRDefault="009420B2" w:rsidP="009420B2">
      <w:pPr>
        <w:rPr>
          <w:rFonts w:ascii="Times New Roman" w:hAnsi="Times New Roman"/>
          <w:i/>
          <w:sz w:val="24"/>
          <w:szCs w:val="24"/>
        </w:rPr>
      </w:pPr>
      <w:r w:rsidRPr="003A3649">
        <w:rPr>
          <w:rFonts w:ascii="Times New Roman" w:hAnsi="Times New Roman"/>
          <w:i/>
          <w:sz w:val="24"/>
          <w:szCs w:val="24"/>
        </w:rPr>
        <w:lastRenderedPageBreak/>
        <w:t>Объем</w:t>
      </w:r>
      <w:r>
        <w:rPr>
          <w:rFonts w:ascii="Times New Roman" w:hAnsi="Times New Roman"/>
          <w:i/>
          <w:sz w:val="24"/>
          <w:szCs w:val="24"/>
        </w:rPr>
        <w:t xml:space="preserve"> дисциплины (модуля) составляет </w:t>
      </w:r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A3649">
        <w:rPr>
          <w:rFonts w:ascii="Times New Roman" w:hAnsi="Times New Roman"/>
          <w:i/>
          <w:sz w:val="24"/>
          <w:szCs w:val="24"/>
        </w:rPr>
        <w:t>зачетных единиц</w:t>
      </w:r>
      <w:r>
        <w:rPr>
          <w:rFonts w:ascii="Times New Roman" w:hAnsi="Times New Roman"/>
          <w:i/>
          <w:sz w:val="24"/>
          <w:szCs w:val="24"/>
        </w:rPr>
        <w:t>ы</w:t>
      </w:r>
      <w:r w:rsidRPr="003A364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всего </w:t>
      </w:r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>180 часов</w:t>
      </w:r>
      <w:r>
        <w:rPr>
          <w:rFonts w:ascii="Times New Roman" w:hAnsi="Times New Roman"/>
          <w:i/>
          <w:sz w:val="24"/>
          <w:szCs w:val="24"/>
        </w:rPr>
        <w:t xml:space="preserve">, из которых </w:t>
      </w:r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>70 часов</w:t>
      </w:r>
      <w:r w:rsidRPr="003A3649">
        <w:rPr>
          <w:rFonts w:ascii="Times New Roman" w:hAnsi="Times New Roman"/>
          <w:i/>
          <w:sz w:val="24"/>
          <w:szCs w:val="24"/>
        </w:rPr>
        <w:t xml:space="preserve"> составляет контактная работа </w:t>
      </w:r>
      <w:r>
        <w:rPr>
          <w:rFonts w:ascii="Times New Roman" w:hAnsi="Times New Roman"/>
          <w:i/>
          <w:sz w:val="24"/>
          <w:szCs w:val="24"/>
        </w:rPr>
        <w:t>студента с преподавателем (</w:t>
      </w:r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>62 часа занятия лекционного типа,  8 часов мероприятия текущего контроля успеваемости и промежуточной аттестации), 110 часов</w:t>
      </w:r>
      <w:r w:rsidRPr="003A3649">
        <w:rPr>
          <w:rFonts w:ascii="Times New Roman" w:hAnsi="Times New Roman"/>
          <w:i/>
          <w:sz w:val="24"/>
          <w:szCs w:val="24"/>
        </w:rPr>
        <w:t xml:space="preserve"> составляет самостоятельная работа </w:t>
      </w:r>
      <w:r>
        <w:rPr>
          <w:rFonts w:ascii="Times New Roman" w:hAnsi="Times New Roman"/>
          <w:i/>
          <w:sz w:val="24"/>
          <w:szCs w:val="24"/>
        </w:rPr>
        <w:t>студента.</w:t>
      </w: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7.  Входные требования для освоения дисциплины (м</w:t>
      </w:r>
      <w:r>
        <w:rPr>
          <w:rFonts w:ascii="Times New Roman" w:hAnsi="Times New Roman"/>
          <w:sz w:val="24"/>
          <w:szCs w:val="24"/>
        </w:rPr>
        <w:t>одуля), предварительные условия</w:t>
      </w:r>
      <w:r w:rsidRPr="003A3649">
        <w:rPr>
          <w:rFonts w:ascii="Times New Roman" w:hAnsi="Times New Roman"/>
          <w:sz w:val="24"/>
          <w:szCs w:val="24"/>
        </w:rPr>
        <w:t>.</w:t>
      </w:r>
    </w:p>
    <w:p w:rsidR="009420B2" w:rsidRDefault="009420B2" w:rsidP="009420B2">
      <w:pPr>
        <w:spacing w:line="240" w:lineRule="auto"/>
        <w:rPr>
          <w:rFonts w:ascii="Times New Roman" w:hAnsi="Times New Roman"/>
          <w:sz w:val="24"/>
          <w:szCs w:val="24"/>
        </w:rPr>
      </w:pPr>
      <w:r w:rsidRPr="00F91CED">
        <w:rPr>
          <w:rFonts w:ascii="Times New Roman" w:hAnsi="Times New Roman"/>
          <w:sz w:val="24"/>
          <w:szCs w:val="24"/>
        </w:rPr>
        <w:t xml:space="preserve">Для того чтобы </w:t>
      </w:r>
      <w:r>
        <w:rPr>
          <w:rFonts w:ascii="Times New Roman" w:hAnsi="Times New Roman"/>
          <w:sz w:val="24"/>
          <w:szCs w:val="24"/>
        </w:rPr>
        <w:t>изучение</w:t>
      </w:r>
      <w:r w:rsidRPr="00F91CED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hAnsi="Times New Roman"/>
          <w:sz w:val="24"/>
          <w:szCs w:val="24"/>
        </w:rPr>
        <w:t xml:space="preserve"> было возможно, обучающийся </w:t>
      </w:r>
      <w:r w:rsidRPr="00F91CED">
        <w:rPr>
          <w:rFonts w:ascii="Times New Roman" w:hAnsi="Times New Roman"/>
          <w:sz w:val="24"/>
          <w:szCs w:val="24"/>
        </w:rPr>
        <w:t>должен</w:t>
      </w:r>
    </w:p>
    <w:p w:rsidR="009420B2" w:rsidRPr="009420B2" w:rsidRDefault="009420B2" w:rsidP="009420B2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>освоить дисциплины базовой части образовательной программы специалиста 1 и 2-го годов обучения.</w:t>
      </w:r>
    </w:p>
    <w:p w:rsidR="009420B2" w:rsidRPr="009420B2" w:rsidRDefault="009420B2" w:rsidP="009420B2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>обладать следующими компетенциями:</w:t>
      </w:r>
    </w:p>
    <w:p w:rsidR="009420B2" w:rsidRPr="009420B2" w:rsidRDefault="009420B2" w:rsidP="009420B2">
      <w:pPr>
        <w:spacing w:line="240" w:lineRule="auto"/>
        <w:rPr>
          <w:rFonts w:ascii="Times New Roman" w:hAnsi="Times New Roman"/>
          <w:color w:val="9BBB59" w:themeColor="accent3"/>
          <w:sz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Знать: </w:t>
      </w:r>
      <w:r w:rsidRPr="009420B2">
        <w:rPr>
          <w:rFonts w:ascii="Times New Roman" w:hAnsi="Times New Roman"/>
          <w:color w:val="9BBB59" w:themeColor="accent3"/>
          <w:sz w:val="24"/>
        </w:rPr>
        <w:t>основные понятия, концепции, результаты  и методы  фундаментальной математики.</w:t>
      </w:r>
    </w:p>
    <w:p w:rsidR="009420B2" w:rsidRPr="009420B2" w:rsidRDefault="009420B2" w:rsidP="009420B2">
      <w:pPr>
        <w:spacing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>Уметь: решать стандартные задачи фундаментальных математических дисциплин.</w:t>
      </w: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Формат обучения.</w:t>
      </w:r>
    </w:p>
    <w:p w:rsidR="009420B2" w:rsidRPr="009420B2" w:rsidRDefault="009420B2" w:rsidP="009420B2">
      <w:pPr>
        <w:rPr>
          <w:rFonts w:ascii="Times New Roman" w:hAnsi="Times New Roman"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>Очная форма обучения, лекционные занятия.</w:t>
      </w:r>
    </w:p>
    <w:p w:rsidR="009420B2" w:rsidRPr="000C6665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9. Содержание дисциплины (модуля), струк</w:t>
      </w:r>
      <w:r>
        <w:rPr>
          <w:rFonts w:ascii="Times New Roman" w:hAnsi="Times New Roman"/>
          <w:sz w:val="24"/>
          <w:szCs w:val="24"/>
        </w:rPr>
        <w:t>турированное по темам (Перечень тем см. Приложения).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t>Комментарий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9420B2">
        <w:rPr>
          <w:rFonts w:ascii="Times New Roman" w:hAnsi="Times New Roman"/>
          <w:color w:val="FF0000"/>
          <w:sz w:val="24"/>
          <w:szCs w:val="24"/>
        </w:rPr>
        <w:t>Число тем равно числу недель в семестрах, и это число менять  не рекомендуется. При необходимости, если у вас количество тем больше (или меньше), просто объедините несколько  тем в одну (или разбейте одну тему на несколько)</w:t>
      </w:r>
    </w:p>
    <w:tbl>
      <w:tblPr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077"/>
        <w:gridCol w:w="993"/>
        <w:gridCol w:w="1021"/>
        <w:gridCol w:w="992"/>
        <w:gridCol w:w="993"/>
        <w:gridCol w:w="992"/>
        <w:gridCol w:w="1701"/>
        <w:gridCol w:w="1134"/>
        <w:gridCol w:w="1134"/>
        <w:gridCol w:w="1052"/>
        <w:gridCol w:w="819"/>
      </w:tblGrid>
      <w:tr w:rsidR="009420B2" w:rsidRPr="009B3670" w:rsidTr="003D70EE">
        <w:trPr>
          <w:trHeight w:val="135"/>
        </w:trPr>
        <w:tc>
          <w:tcPr>
            <w:tcW w:w="4077" w:type="dxa"/>
            <w:vMerge w:val="restart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993" w:type="dxa"/>
            <w:vMerge w:val="restart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t>(часы</w:t>
            </w:r>
            <w:r w:rsidRPr="009B36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38" w:type="dxa"/>
            <w:gridSpan w:val="9"/>
          </w:tcPr>
          <w:p w:rsidR="009420B2" w:rsidRPr="009B3670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420B2" w:rsidRPr="009B3670" w:rsidTr="003D70EE">
        <w:trPr>
          <w:trHeight w:val="135"/>
        </w:trPr>
        <w:tc>
          <w:tcPr>
            <w:tcW w:w="4077" w:type="dxa"/>
            <w:vMerge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6"/>
          </w:tcPr>
          <w:p w:rsidR="009420B2" w:rsidRPr="009B3670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  <w:p w:rsidR="009420B2" w:rsidRPr="009B3670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005" w:type="dxa"/>
            <w:gridSpan w:val="3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обучающегося, часы </w:t>
            </w:r>
          </w:p>
          <w:p w:rsidR="009420B2" w:rsidRPr="009B3670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9420B2" w:rsidRPr="009B3670" w:rsidTr="003D70EE">
        <w:trPr>
          <w:cantSplit/>
          <w:trHeight w:val="1134"/>
        </w:trPr>
        <w:tc>
          <w:tcPr>
            <w:tcW w:w="4077" w:type="dxa"/>
            <w:vMerge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extDirection w:val="btLr"/>
          </w:tcPr>
          <w:p w:rsidR="009420B2" w:rsidRPr="009B3670" w:rsidRDefault="009420B2" w:rsidP="003D70EE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Занятия лекционного  типа</w:t>
            </w:r>
          </w:p>
        </w:tc>
        <w:tc>
          <w:tcPr>
            <w:tcW w:w="992" w:type="dxa"/>
            <w:textDirection w:val="btLr"/>
          </w:tcPr>
          <w:p w:rsidR="009420B2" w:rsidRPr="009B3670" w:rsidRDefault="009420B2" w:rsidP="003D70EE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993" w:type="dxa"/>
            <w:textDirection w:val="btLr"/>
          </w:tcPr>
          <w:p w:rsidR="009420B2" w:rsidRPr="009B3670" w:rsidRDefault="009420B2" w:rsidP="003D70EE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992" w:type="dxa"/>
            <w:textDirection w:val="btLr"/>
          </w:tcPr>
          <w:p w:rsidR="009420B2" w:rsidRPr="009B3670" w:rsidRDefault="009420B2" w:rsidP="003D70EE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670">
              <w:rPr>
                <w:rFonts w:ascii="Times New Roman" w:hAnsi="Times New Roman"/>
                <w:sz w:val="20"/>
                <w:szCs w:val="20"/>
              </w:rPr>
              <w:t>Учебные занятия, направленные на проведение текущего контроля успеваемости, промежуточной аттестации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20B2" w:rsidRPr="009B3670" w:rsidRDefault="009420B2" w:rsidP="003D70EE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textDirection w:val="btLr"/>
          </w:tcPr>
          <w:p w:rsidR="009420B2" w:rsidRPr="009B3670" w:rsidRDefault="009420B2" w:rsidP="003D70EE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9B3670">
              <w:rPr>
                <w:rFonts w:ascii="Times New Roman" w:hAnsi="Times New Roman"/>
                <w:sz w:val="24"/>
                <w:szCs w:val="24"/>
              </w:rPr>
              <w:t>рефератовит.п</w:t>
            </w:r>
            <w:proofErr w:type="spellEnd"/>
            <w:r w:rsidRPr="009B3670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819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spacing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  <w:lang w:eastAsia="ru-RU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rPr>
          <w:trHeight w:val="202"/>
        </w:trPr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lastRenderedPageBreak/>
              <w:t>Тема 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 xml:space="preserve">Тема 8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8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 xml:space="preserve">Тема 10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11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12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13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14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15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>Тема 16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8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17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lastRenderedPageBreak/>
              <w:t>Тема 18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19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24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8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29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30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31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r w:rsidRPr="009B3670">
              <w:rPr>
                <w:rFonts w:ascii="Times New Roman" w:hAnsi="Times New Roman"/>
                <w:sz w:val="24"/>
                <w:szCs w:val="24"/>
              </w:rPr>
              <w:t>Тема 32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  <w:p w:rsidR="009420B2" w:rsidRPr="009A46E8" w:rsidRDefault="009420B2" w:rsidP="003D70E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630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Экзамен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</w:t>
            </w:r>
            <w:r w:rsidRPr="002630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22</w:t>
            </w:r>
          </w:p>
        </w:tc>
      </w:tr>
      <w:tr w:rsidR="009420B2" w:rsidRPr="009B3670" w:rsidTr="003D70EE">
        <w:tc>
          <w:tcPr>
            <w:tcW w:w="4077" w:type="dxa"/>
          </w:tcPr>
          <w:p w:rsidR="009420B2" w:rsidRPr="009B3670" w:rsidRDefault="009420B2" w:rsidP="003D70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0B2" w:rsidRPr="009420B2" w:rsidRDefault="009420B2" w:rsidP="003D70EE">
            <w:pPr>
              <w:rPr>
                <w:rFonts w:ascii="Times New Roman" w:hAnsi="Times New Roman"/>
                <w:color w:val="9BBB59" w:themeColor="accent3"/>
              </w:rPr>
            </w:pPr>
            <w:r w:rsidRPr="009420B2">
              <w:rPr>
                <w:rFonts w:ascii="Times New Roman" w:hAnsi="Times New Roman"/>
                <w:color w:val="9BBB59" w:themeColor="accent3"/>
              </w:rPr>
              <w:t>110</w:t>
            </w:r>
          </w:p>
        </w:tc>
      </w:tr>
    </w:tbl>
    <w:p w:rsidR="009420B2" w:rsidRDefault="009420B2" w:rsidP="009420B2">
      <w:pPr>
        <w:rPr>
          <w:rFonts w:ascii="Times New Roman" w:hAnsi="Times New Roman"/>
          <w:i/>
          <w:sz w:val="24"/>
          <w:szCs w:val="24"/>
        </w:rPr>
      </w:pP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10. Перечень учебно-методического обеспечения для самостоятельной работы </w:t>
      </w:r>
      <w:r>
        <w:rPr>
          <w:rFonts w:ascii="Times New Roman" w:hAnsi="Times New Roman"/>
          <w:sz w:val="24"/>
          <w:szCs w:val="24"/>
        </w:rPr>
        <w:t>студентов по дисциплине (модулю):</w:t>
      </w:r>
    </w:p>
    <w:p w:rsidR="009420B2" w:rsidRPr="009420B2" w:rsidRDefault="009420B2" w:rsidP="009420B2">
      <w:pPr>
        <w:rPr>
          <w:rFonts w:ascii="Times New Roman" w:hAnsi="Times New Roman"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>Конспекты лекций, списки задач к лекциям, основная и дополнительная учебная литература.</w:t>
      </w: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11. Фонд оценочных средств для промежуточной аттестации по дисциплине (модулю).</w:t>
      </w:r>
    </w:p>
    <w:p w:rsidR="009420B2" w:rsidRPr="009420B2" w:rsidRDefault="009420B2" w:rsidP="009420B2">
      <w:pPr>
        <w:rPr>
          <w:rFonts w:ascii="Times New Roman" w:hAnsi="Times New Roman"/>
          <w:color w:val="9BBB59" w:themeColor="accent3"/>
          <w:sz w:val="24"/>
          <w:szCs w:val="24"/>
        </w:rPr>
      </w:pPr>
    </w:p>
    <w:p w:rsidR="009420B2" w:rsidRPr="009420B2" w:rsidRDefault="008F6D4C" w:rsidP="009420B2">
      <w:pPr>
        <w:numPr>
          <w:ilvl w:val="0"/>
          <w:numId w:val="3"/>
        </w:numPr>
        <w:contextualSpacing/>
        <w:rPr>
          <w:rFonts w:ascii="Times New Roman" w:hAnsi="Times New Roman"/>
          <w:i/>
          <w:color w:val="9BBB59" w:themeColor="accent3"/>
          <w:sz w:val="24"/>
          <w:szCs w:val="24"/>
        </w:rPr>
      </w:pPr>
      <w:r>
        <w:rPr>
          <w:rFonts w:ascii="Times New Roman" w:hAnsi="Times New Roman"/>
          <w:color w:val="9BBB59" w:themeColor="accent3"/>
          <w:sz w:val="24"/>
          <w:szCs w:val="24"/>
        </w:rPr>
        <w:t xml:space="preserve">Перечень компетенций: </w:t>
      </w:r>
      <w:bookmarkStart w:id="0" w:name="_GoBack"/>
      <w:bookmarkEnd w:id="0"/>
      <w:r w:rsidR="009420B2" w:rsidRPr="009420B2">
        <w:rPr>
          <w:rFonts w:ascii="Times New Roman" w:hAnsi="Times New Roman"/>
          <w:color w:val="9BBB59" w:themeColor="accent3"/>
          <w:sz w:val="24"/>
          <w:szCs w:val="24"/>
        </w:rPr>
        <w:t>С</w:t>
      </w:r>
      <w:r>
        <w:rPr>
          <w:rFonts w:ascii="Times New Roman" w:hAnsi="Times New Roman"/>
          <w:color w:val="9BBB59" w:themeColor="accent3"/>
          <w:sz w:val="24"/>
          <w:szCs w:val="24"/>
        </w:rPr>
        <w:t>П</w:t>
      </w:r>
      <w:r w:rsidR="009420B2" w:rsidRPr="009420B2">
        <w:rPr>
          <w:rFonts w:ascii="Times New Roman" w:hAnsi="Times New Roman"/>
          <w:color w:val="9BBB59" w:themeColor="accent3"/>
          <w:sz w:val="24"/>
          <w:szCs w:val="24"/>
        </w:rPr>
        <w:t>К-1.</w:t>
      </w:r>
    </w:p>
    <w:p w:rsidR="009420B2" w:rsidRPr="009420B2" w:rsidRDefault="009420B2" w:rsidP="009420B2">
      <w:pPr>
        <w:numPr>
          <w:ilvl w:val="0"/>
          <w:numId w:val="3"/>
        </w:numPr>
        <w:contextualSpacing/>
        <w:rPr>
          <w:rFonts w:ascii="Times New Roman" w:hAnsi="Times New Roman"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>Описание шкал оценивания</w:t>
      </w:r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 xml:space="preserve">: </w:t>
      </w:r>
    </w:p>
    <w:p w:rsidR="009420B2" w:rsidRPr="009420B2" w:rsidRDefault="009420B2" w:rsidP="009420B2">
      <w:pPr>
        <w:ind w:left="360"/>
        <w:rPr>
          <w:rFonts w:ascii="Times New Roman" w:hAnsi="Times New Roman"/>
          <w:i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>экзамен с оценкой по пятибалльной шкале</w:t>
      </w:r>
    </w:p>
    <w:p w:rsidR="009420B2" w:rsidRPr="009420B2" w:rsidRDefault="009420B2" w:rsidP="009420B2">
      <w:pPr>
        <w:ind w:left="360"/>
        <w:rPr>
          <w:rFonts w:ascii="Times New Roman" w:hAnsi="Times New Roman"/>
          <w:i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>зачет («зачтено» или «</w:t>
      </w:r>
      <w:proofErr w:type="spellStart"/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>незачтено</w:t>
      </w:r>
      <w:proofErr w:type="spellEnd"/>
      <w:r w:rsidRPr="009420B2">
        <w:rPr>
          <w:rFonts w:ascii="Times New Roman" w:hAnsi="Times New Roman"/>
          <w:i/>
          <w:color w:val="9BBB59" w:themeColor="accent3"/>
          <w:sz w:val="24"/>
          <w:szCs w:val="24"/>
        </w:rPr>
        <w:t>»)</w:t>
      </w:r>
    </w:p>
    <w:p w:rsidR="009420B2" w:rsidRPr="0026307B" w:rsidRDefault="009420B2" w:rsidP="009420B2">
      <w:pPr>
        <w:ind w:left="360"/>
        <w:rPr>
          <w:rFonts w:ascii="Times New Roman" w:hAnsi="Times New Roman"/>
          <w:sz w:val="24"/>
          <w:szCs w:val="24"/>
        </w:rPr>
      </w:pPr>
    </w:p>
    <w:p w:rsidR="009420B2" w:rsidRPr="009A46E8" w:rsidRDefault="009420B2" w:rsidP="009420B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компетенций. 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275"/>
        <w:gridCol w:w="1843"/>
        <w:gridCol w:w="2126"/>
        <w:gridCol w:w="2835"/>
        <w:gridCol w:w="2268"/>
        <w:gridCol w:w="2410"/>
      </w:tblGrid>
      <w:tr w:rsidR="009420B2" w:rsidRPr="007E07E0" w:rsidTr="003D70EE">
        <w:tc>
          <w:tcPr>
            <w:tcW w:w="2127" w:type="dxa"/>
          </w:tcPr>
          <w:p w:rsidR="009420B2" w:rsidRPr="00DA6EB2" w:rsidRDefault="009420B2" w:rsidP="003D70EE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>РЕЗУЛЬТАТ ОБУЧЕНИЯ</w:t>
            </w:r>
          </w:p>
          <w:p w:rsidR="009420B2" w:rsidRPr="00DA6EB2" w:rsidRDefault="009420B2" w:rsidP="003D70EE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 xml:space="preserve"> по дисциплине (модулю)</w:t>
            </w:r>
          </w:p>
        </w:tc>
        <w:tc>
          <w:tcPr>
            <w:tcW w:w="10347" w:type="dxa"/>
            <w:gridSpan w:val="5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 xml:space="preserve">КРИТЕРИИ ОЦЕНИВАНИЯ РЕЗУЛЬТАТА ОБУЧЕНИЯ </w:t>
            </w:r>
          </w:p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 xml:space="preserve">по дисциплине (модулю) и </w:t>
            </w:r>
          </w:p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>ШКАЛА оценивания</w:t>
            </w:r>
          </w:p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ПРОЦЕДУРЫ ОЦЕНИВАНИЯ</w:t>
            </w:r>
          </w:p>
        </w:tc>
      </w:tr>
      <w:tr w:rsidR="009420B2" w:rsidRPr="007E07E0" w:rsidTr="003D70EE">
        <w:tc>
          <w:tcPr>
            <w:tcW w:w="2127" w:type="dxa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75" w:type="dxa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10" w:type="dxa"/>
          </w:tcPr>
          <w:p w:rsidR="009420B2" w:rsidRPr="00DA6E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9420B2" w:rsidRPr="009420B2" w:rsidTr="003D70EE">
        <w:trPr>
          <w:trHeight w:val="1833"/>
        </w:trPr>
        <w:tc>
          <w:tcPr>
            <w:tcW w:w="2127" w:type="dxa"/>
          </w:tcPr>
          <w:p w:rsidR="009420B2" w:rsidRPr="009420B2" w:rsidRDefault="009420B2" w:rsidP="003D70EE">
            <w:pPr>
              <w:jc w:val="left"/>
              <w:rPr>
                <w:rFonts w:ascii="Times New Roman" w:hAnsi="Times New Roman"/>
                <w:color w:val="9BBB59" w:themeColor="accent3"/>
                <w:sz w:val="20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Знание</w:t>
            </w:r>
            <w:r w:rsidRPr="009420B2">
              <w:rPr>
                <w:rFonts w:ascii="Times" w:hAnsi="Times"/>
                <w:color w:val="9BBB59" w:themeColor="accent3"/>
                <w:sz w:val="20"/>
              </w:rPr>
              <w:t xml:space="preserve"> </w:t>
            </w: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специальных разделов действительного,  комплексного и функционального анализа</w:t>
            </w:r>
          </w:p>
        </w:tc>
        <w:tc>
          <w:tcPr>
            <w:tcW w:w="1275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4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Отсутствие знаний</w:t>
            </w:r>
          </w:p>
        </w:tc>
        <w:tc>
          <w:tcPr>
            <w:tcW w:w="1843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4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Фрагментарные знания специальных разделов действительного,  комплексного и функционального анализа</w:t>
            </w:r>
          </w:p>
        </w:tc>
        <w:tc>
          <w:tcPr>
            <w:tcW w:w="2126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4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Общие, но не структурированные знания специальных разделов действительного,  комплексного и функционального анализа</w:t>
            </w:r>
          </w:p>
        </w:tc>
        <w:tc>
          <w:tcPr>
            <w:tcW w:w="2835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4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Сформированные, но содержащие отдельные пробелы знания специальных разделов действительного,  комплексного и функционального анализа</w:t>
            </w:r>
          </w:p>
        </w:tc>
        <w:tc>
          <w:tcPr>
            <w:tcW w:w="2268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4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Сформированные систематические знания специальных разделов действительного,  комплексного и функционального анализа</w:t>
            </w:r>
          </w:p>
        </w:tc>
        <w:tc>
          <w:tcPr>
            <w:tcW w:w="2410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4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  <w:szCs w:val="24"/>
              </w:rPr>
              <w:t xml:space="preserve">Экзамен в форме </w:t>
            </w:r>
          </w:p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4"/>
                <w:highlight w:val="yellow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  <w:szCs w:val="24"/>
              </w:rPr>
              <w:t>индивидуального собеседования</w:t>
            </w:r>
          </w:p>
        </w:tc>
      </w:tr>
      <w:tr w:rsidR="009420B2" w:rsidRPr="009420B2" w:rsidTr="003D70EE">
        <w:tc>
          <w:tcPr>
            <w:tcW w:w="2127" w:type="dxa"/>
          </w:tcPr>
          <w:p w:rsidR="009420B2" w:rsidRPr="009420B2" w:rsidRDefault="009420B2" w:rsidP="003D70EE">
            <w:pPr>
              <w:spacing w:line="240" w:lineRule="auto"/>
              <w:jc w:val="left"/>
              <w:rPr>
                <w:rFonts w:ascii="Times New Roman" w:hAnsi="Times New Roman"/>
                <w:i/>
                <w:color w:val="9BBB59" w:themeColor="accent3"/>
                <w:sz w:val="20"/>
                <w:szCs w:val="24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Умение применять методы анализа и решения задач специализации</w:t>
            </w:r>
          </w:p>
        </w:tc>
        <w:tc>
          <w:tcPr>
            <w:tcW w:w="1275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Отсутствие умений</w:t>
            </w:r>
          </w:p>
        </w:tc>
        <w:tc>
          <w:tcPr>
            <w:tcW w:w="1843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Частично освоенное умение применять методы анализа и решения задач специализации</w:t>
            </w:r>
          </w:p>
        </w:tc>
        <w:tc>
          <w:tcPr>
            <w:tcW w:w="2126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В целом успешное, но не систематически осуществляемое умение применять методы анализа и решения задач специализации</w:t>
            </w:r>
          </w:p>
        </w:tc>
        <w:tc>
          <w:tcPr>
            <w:tcW w:w="2835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В целом успешное, но содержащие отдельные пробелы умение применять методы анализа и решения задач специализации</w:t>
            </w:r>
          </w:p>
        </w:tc>
        <w:tc>
          <w:tcPr>
            <w:tcW w:w="2268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</w:rPr>
              <w:t>Сформированное умение применять методы анализа и решения задач специализации</w:t>
            </w:r>
          </w:p>
        </w:tc>
        <w:tc>
          <w:tcPr>
            <w:tcW w:w="2410" w:type="dxa"/>
          </w:tcPr>
          <w:p w:rsidR="009420B2" w:rsidRPr="009420B2" w:rsidRDefault="009420B2" w:rsidP="003D70EE">
            <w:pPr>
              <w:spacing w:line="240" w:lineRule="auto"/>
              <w:jc w:val="center"/>
              <w:rPr>
                <w:rFonts w:ascii="Times New Roman" w:hAnsi="Times New Roman"/>
                <w:color w:val="9BBB59" w:themeColor="accent3"/>
                <w:sz w:val="20"/>
                <w:szCs w:val="24"/>
                <w:highlight w:val="yellow"/>
              </w:rPr>
            </w:pPr>
            <w:r w:rsidRPr="009420B2">
              <w:rPr>
                <w:rFonts w:ascii="Times New Roman" w:hAnsi="Times New Roman"/>
                <w:color w:val="9BBB59" w:themeColor="accent3"/>
                <w:sz w:val="20"/>
                <w:szCs w:val="24"/>
              </w:rPr>
              <w:t>Письменное решение задач</w:t>
            </w:r>
          </w:p>
        </w:tc>
      </w:tr>
    </w:tbl>
    <w:p w:rsidR="009420B2" w:rsidRPr="00BB3EF5" w:rsidRDefault="009420B2" w:rsidP="009420B2">
      <w:pPr>
        <w:rPr>
          <w:rFonts w:ascii="Times New Roman" w:hAnsi="Times New Roman"/>
          <w:sz w:val="24"/>
          <w:szCs w:val="24"/>
          <w:highlight w:val="yellow"/>
        </w:rPr>
      </w:pPr>
    </w:p>
    <w:p w:rsidR="009420B2" w:rsidRPr="00C91D49" w:rsidRDefault="009420B2" w:rsidP="009420B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C91D49">
        <w:rPr>
          <w:rFonts w:ascii="Times New Roman" w:hAnsi="Times New Roman"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D49">
        <w:rPr>
          <w:rFonts w:ascii="Times New Roman" w:hAnsi="Times New Roman"/>
          <w:sz w:val="24"/>
          <w:szCs w:val="24"/>
        </w:rPr>
        <w:t>См. Приложения.</w:t>
      </w: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  <w:highlight w:val="yellow"/>
        </w:rPr>
      </w:pP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12.  Ресурсное обеспечение:</w:t>
      </w: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основной учебной литературы: см. Приложение</w:t>
      </w:r>
    </w:p>
    <w:p w:rsidR="009420B2" w:rsidRPr="00F51626" w:rsidRDefault="009420B2" w:rsidP="009420B2">
      <w:pPr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дополнительной учебной литературы: см. Приложения</w:t>
      </w:r>
    </w:p>
    <w:p w:rsidR="009420B2" w:rsidRPr="00F51626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3A3649">
        <w:rPr>
          <w:rFonts w:ascii="Times New Roman" w:hAnsi="Times New Roman"/>
          <w:sz w:val="24"/>
          <w:szCs w:val="24"/>
        </w:rPr>
        <w:t>ресурсов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649">
        <w:rPr>
          <w:rFonts w:ascii="Times New Roman" w:hAnsi="Times New Roman"/>
          <w:sz w:val="24"/>
          <w:szCs w:val="24"/>
        </w:rPr>
        <w:t>информационно</w:t>
      </w:r>
      <w:r w:rsidRPr="00BA4526">
        <w:rPr>
          <w:rFonts w:ascii="Times New Roman" w:hAnsi="Times New Roman"/>
          <w:sz w:val="24"/>
          <w:szCs w:val="24"/>
        </w:rPr>
        <w:t>-</w:t>
      </w:r>
      <w:r w:rsidRPr="003A3649">
        <w:rPr>
          <w:rFonts w:ascii="Times New Roman" w:hAnsi="Times New Roman"/>
          <w:sz w:val="24"/>
          <w:szCs w:val="24"/>
        </w:rPr>
        <w:t>телекоммуникационной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649">
        <w:rPr>
          <w:rFonts w:ascii="Times New Roman" w:hAnsi="Times New Roman"/>
          <w:sz w:val="24"/>
          <w:szCs w:val="24"/>
        </w:rPr>
        <w:t>сети</w:t>
      </w:r>
      <w:r w:rsidRPr="00BA4526">
        <w:rPr>
          <w:rFonts w:ascii="Times New Roman" w:hAnsi="Times New Roman"/>
          <w:sz w:val="24"/>
          <w:szCs w:val="24"/>
        </w:rPr>
        <w:t xml:space="preserve"> «</w:t>
      </w:r>
      <w:r w:rsidRPr="003A3649">
        <w:rPr>
          <w:rFonts w:ascii="Times New Roman" w:hAnsi="Times New Roman"/>
          <w:sz w:val="24"/>
          <w:szCs w:val="24"/>
        </w:rPr>
        <w:t>Интернет»</w:t>
      </w:r>
      <w:r>
        <w:rPr>
          <w:rFonts w:ascii="Times New Roman" w:hAnsi="Times New Roman"/>
          <w:sz w:val="24"/>
          <w:szCs w:val="24"/>
        </w:rPr>
        <w:t>: см. Приложения.</w:t>
      </w:r>
    </w:p>
    <w:p w:rsidR="009420B2" w:rsidRPr="003537E5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Описание материально-техни</w:t>
      </w:r>
      <w:r>
        <w:rPr>
          <w:rFonts w:ascii="Times New Roman" w:hAnsi="Times New Roman"/>
          <w:sz w:val="24"/>
          <w:szCs w:val="24"/>
        </w:rPr>
        <w:t>ческой базы</w:t>
      </w:r>
      <w:r w:rsidRPr="003537E5">
        <w:rPr>
          <w:rFonts w:ascii="Times New Roman" w:hAnsi="Times New Roman"/>
          <w:sz w:val="24"/>
          <w:szCs w:val="24"/>
        </w:rPr>
        <w:t>: аудитории для проведения лекционных занятий.</w:t>
      </w:r>
    </w:p>
    <w:p w:rsidR="009420B2" w:rsidRPr="003A3649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EB4A58" w:rsidRDefault="009420B2" w:rsidP="009420B2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13. Язык</w:t>
      </w:r>
      <w:r>
        <w:rPr>
          <w:rFonts w:ascii="Times New Roman" w:hAnsi="Times New Roman"/>
          <w:sz w:val="24"/>
          <w:szCs w:val="24"/>
        </w:rPr>
        <w:t xml:space="preserve"> преподавания: 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>русский (при необходимости – английский</w:t>
      </w:r>
      <w:r w:rsidRPr="003537E5">
        <w:rPr>
          <w:rFonts w:ascii="Times New Roman" w:hAnsi="Times New Roman"/>
          <w:sz w:val="24"/>
          <w:szCs w:val="24"/>
        </w:rPr>
        <w:t>).</w:t>
      </w:r>
    </w:p>
    <w:p w:rsidR="009420B2" w:rsidRDefault="009420B2" w:rsidP="009420B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Default="009420B2" w:rsidP="009420B2">
      <w:pPr>
        <w:numPr>
          <w:ilvl w:val="0"/>
          <w:numId w:val="1"/>
        </w:numPr>
        <w:contextualSpacing/>
        <w:rPr>
          <w:rFonts w:ascii="Times New Roman" w:hAnsi="Times New Roman"/>
          <w:color w:val="76923C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Спецкурс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9420B2">
        <w:rPr>
          <w:rFonts w:ascii="Times New Roman" w:hAnsi="Times New Roman"/>
          <w:color w:val="9BBB59" w:themeColor="accent3"/>
          <w:sz w:val="24"/>
          <w:szCs w:val="24"/>
        </w:rPr>
        <w:t>специалитета</w:t>
      </w:r>
      <w:proofErr w:type="spellEnd"/>
      <w:r w:rsidRPr="009420B2">
        <w:rPr>
          <w:rFonts w:ascii="Times New Roman" w:hAnsi="Times New Roman"/>
          <w:color w:val="9BBB59" w:themeColor="accent3"/>
          <w:sz w:val="24"/>
          <w:szCs w:val="24"/>
        </w:rPr>
        <w:t>, годовой</w:t>
      </w:r>
      <w:r w:rsidRPr="004845D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76923C"/>
          <w:sz w:val="24"/>
          <w:szCs w:val="24"/>
        </w:rPr>
        <w:t xml:space="preserve"> </w:t>
      </w:r>
      <w:r w:rsidR="008F6D4C">
        <w:rPr>
          <w:rFonts w:ascii="Times New Roman" w:hAnsi="Times New Roman"/>
          <w:color w:val="76923C"/>
          <w:sz w:val="24"/>
          <w:szCs w:val="24"/>
        </w:rPr>
        <w:t>«</w:t>
      </w:r>
      <w:r>
        <w:rPr>
          <w:rFonts w:ascii="Times New Roman" w:hAnsi="Times New Roman"/>
          <w:color w:val="76923C"/>
          <w:sz w:val="24"/>
          <w:szCs w:val="24"/>
        </w:rPr>
        <w:t>Тригонометрические ряды</w:t>
      </w:r>
      <w:r w:rsidR="008F6D4C">
        <w:rPr>
          <w:rFonts w:ascii="Times New Roman" w:hAnsi="Times New Roman"/>
          <w:color w:val="76923C"/>
          <w:sz w:val="24"/>
          <w:szCs w:val="24"/>
        </w:rPr>
        <w:t>»</w:t>
      </w:r>
      <w:r>
        <w:rPr>
          <w:rFonts w:ascii="Times New Roman" w:hAnsi="Times New Roman"/>
          <w:color w:val="76923C"/>
          <w:sz w:val="24"/>
          <w:szCs w:val="24"/>
        </w:rPr>
        <w:t>.</w:t>
      </w:r>
    </w:p>
    <w:p w:rsidR="009420B2" w:rsidRPr="00B95695" w:rsidRDefault="009420B2" w:rsidP="009420B2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B95695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1562">
        <w:rPr>
          <w:rFonts w:ascii="Times New Roman" w:hAnsi="Times New Roman"/>
          <w:color w:val="9BBB59"/>
          <w:sz w:val="24"/>
          <w:szCs w:val="24"/>
        </w:rPr>
        <w:t>проф. Т.П. Лукашенко</w:t>
      </w:r>
      <w:r>
        <w:rPr>
          <w:rFonts w:ascii="Times New Roman" w:hAnsi="Times New Roman"/>
          <w:color w:val="9BBB59"/>
          <w:sz w:val="24"/>
          <w:szCs w:val="24"/>
        </w:rPr>
        <w:t>.</w:t>
      </w:r>
    </w:p>
    <w:p w:rsidR="009420B2" w:rsidRPr="007D1562" w:rsidRDefault="009420B2" w:rsidP="009420B2">
      <w:pPr>
        <w:numPr>
          <w:ilvl w:val="0"/>
          <w:numId w:val="1"/>
        </w:numPr>
        <w:contextualSpacing/>
        <w:rPr>
          <w:rFonts w:ascii="Times New Roman" w:hAnsi="Times New Roman"/>
          <w:color w:val="76923C"/>
          <w:sz w:val="24"/>
          <w:szCs w:val="24"/>
        </w:rPr>
      </w:pPr>
      <w:r w:rsidRPr="007F2E49">
        <w:rPr>
          <w:rFonts w:ascii="Times New Roman" w:hAnsi="Times New Roman"/>
          <w:sz w:val="24"/>
          <w:szCs w:val="24"/>
        </w:rPr>
        <w:t>Аннотация курса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1562">
        <w:rPr>
          <w:rFonts w:ascii="Times New Roman" w:hAnsi="Times New Roman"/>
          <w:color w:val="76923C"/>
          <w:sz w:val="24"/>
          <w:szCs w:val="20"/>
        </w:rPr>
        <w:t>свойства общих тригонометрических рядов, сходимость и расходимость, свойства коэффициентов, представление функций рядами, приложения к теории приближений</w:t>
      </w:r>
      <w:r w:rsidRPr="007D1562">
        <w:rPr>
          <w:rFonts w:ascii="Times New Roman" w:hAnsi="Times New Roman"/>
          <w:color w:val="76923C"/>
          <w:sz w:val="24"/>
          <w:szCs w:val="24"/>
        </w:rPr>
        <w:t>.</w:t>
      </w:r>
    </w:p>
    <w:p w:rsidR="009420B2" w:rsidRDefault="009420B2" w:rsidP="009420B2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содержание курса:</w:t>
      </w: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Pr="009420B2" w:rsidRDefault="008F6D4C" w:rsidP="009420B2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Комментарий:</w:t>
      </w:r>
      <w:r w:rsidR="009420B2" w:rsidRPr="009420B2">
        <w:rPr>
          <w:rFonts w:ascii="Times New Roman" w:hAnsi="Times New Roman"/>
          <w:color w:val="FF0000"/>
          <w:sz w:val="24"/>
          <w:szCs w:val="24"/>
        </w:rPr>
        <w:t xml:space="preserve"> Часы на приводимые темы указывать не нужно, только сами темы. Число тем равно числу недель в</w:t>
      </w:r>
      <w:r>
        <w:rPr>
          <w:rFonts w:ascii="Times New Roman" w:hAnsi="Times New Roman"/>
          <w:color w:val="FF0000"/>
          <w:sz w:val="24"/>
          <w:szCs w:val="24"/>
        </w:rPr>
        <w:t xml:space="preserve"> семестрах, и это число менять </w:t>
      </w:r>
      <w:r w:rsidR="009420B2" w:rsidRPr="009420B2">
        <w:rPr>
          <w:rFonts w:ascii="Times New Roman" w:hAnsi="Times New Roman"/>
          <w:color w:val="FF0000"/>
          <w:sz w:val="24"/>
          <w:szCs w:val="24"/>
        </w:rPr>
        <w:t>не рекомендуется. При необходимости, если у вас количество тем больше (или меньш</w:t>
      </w:r>
      <w:r>
        <w:rPr>
          <w:rFonts w:ascii="Times New Roman" w:hAnsi="Times New Roman"/>
          <w:color w:val="FF0000"/>
          <w:sz w:val="24"/>
          <w:szCs w:val="24"/>
        </w:rPr>
        <w:t>е), просто объедините несколько</w:t>
      </w:r>
      <w:r w:rsidR="009420B2" w:rsidRPr="009420B2">
        <w:rPr>
          <w:rFonts w:ascii="Times New Roman" w:hAnsi="Times New Roman"/>
          <w:color w:val="FF0000"/>
          <w:sz w:val="24"/>
          <w:szCs w:val="24"/>
        </w:rPr>
        <w:t xml:space="preserve"> тем в одну (или разбейте одну тему на несколько)</w:t>
      </w:r>
    </w:p>
    <w:p w:rsidR="009420B2" w:rsidRDefault="009420B2" w:rsidP="009420B2">
      <w:pPr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696"/>
        <w:gridCol w:w="13183"/>
      </w:tblGrid>
      <w:tr w:rsidR="009420B2" w:rsidRPr="007D1562" w:rsidTr="003D70EE">
        <w:trPr>
          <w:trHeight w:val="598"/>
        </w:trPr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Дифференциально-геометрический подход к системам гидродинамического типа. Аффиноры систем гидродинамического типа.</w:t>
            </w:r>
          </w:p>
        </w:tc>
      </w:tr>
      <w:tr w:rsidR="009420B2" w:rsidRPr="00B95695" w:rsidTr="003D70EE">
        <w:trPr>
          <w:trHeight w:val="202"/>
        </w:trPr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Инварианты Римана. Тензоры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Нейенхейса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и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Хантьеса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. Тензорный критерий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диагонализуемости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аффинора. Разделение переменных и тензор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Нейенхейса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Теоретико-полевой гамильтонов формализм и теоретико-полевые скобки Пуассона.</w:t>
            </w:r>
          </w:p>
        </w:tc>
      </w:tr>
      <w:tr w:rsidR="009420B2" w:rsidRPr="00234C9A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4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Гамильтоновы системы гидродинамического типа. Гамильтонов подход Дубровина-Новикова. Скобки Дубровина-Новикова и риманова геометрия. Плоские метрики и критерий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гамильтоновости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аффинора.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Нелокальные гамильтоновы операторы, порождаемые метриками постоянной римановой кривизны.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Нелокальные гамильтоновы операторы, порождаемые подмногообразиями с плоской нормальной связностью.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Диагональные гамильтоновы системы гидродинамического типа. Условия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гамильтоновости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диагонального аффинора.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Полугамильтоновы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диагональные системы.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8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Диагональные метрики, коэффициенты Ламе и коэффициенты вращения метрики.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Егоровские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метрики.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Полугамильтоновы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диагональные метрики и уравнения Дарбу.  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9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Плоские диагональные метрики и криволинейные ортогональные системы координат в плоском пространстве. Уравнения Ламе. Уравнения Дарбу и уравнения Ламе как условия совместности линейных систем.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Интегрируемость уравнений Дарбу и уравнений Ламе. Метод обратной задачи рассеяния (метод одевания) и метод редукций Захарова для уравнений Ламе. 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Интегрируемость уравнений для криволинейных ортогональных систем координат в пространствах постоянной римановой кривизны.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Законы сохранения гамильтоновых и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полугамильтоновых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диагональных систем.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Симметрии и коммутирующие потоки гамильтоновых и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полугамильтоновых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диагональных систем.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Теорема Царева об интегрируемости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диагонализуемых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гамильтоновых и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полугамильтоновых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систем (обобщенный метод годографа).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Бигамильтоновы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системы гидродинамического типа и согласованные метрики. </w:t>
            </w:r>
            <w:proofErr w:type="spellStart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>Бигамильтоновы</w:t>
            </w:r>
            <w:proofErr w:type="spellEnd"/>
            <w:r w:rsidRPr="00B95695">
              <w:rPr>
                <w:rFonts w:ascii="Times New Roman" w:hAnsi="Times New Roman"/>
                <w:color w:val="76923C"/>
                <w:sz w:val="24"/>
                <w:szCs w:val="24"/>
              </w:rPr>
              <w:t xml:space="preserve"> иерархии.</w:t>
            </w: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18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19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20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21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22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23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24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>
              <w:rPr>
                <w:rFonts w:ascii="Times New Roman" w:hAnsi="Times New Roman"/>
                <w:sz w:val="24"/>
                <w:szCs w:val="24"/>
              </w:rPr>
              <w:t>Тема 25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9420B2" w:rsidRPr="00B95695" w:rsidTr="003D70EE">
        <w:tc>
          <w:tcPr>
            <w:tcW w:w="1696" w:type="dxa"/>
          </w:tcPr>
          <w:p w:rsidR="009420B2" w:rsidRDefault="009420B2" w:rsidP="003D70EE">
            <w:r w:rsidRPr="002A68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183" w:type="dxa"/>
          </w:tcPr>
          <w:p w:rsidR="009420B2" w:rsidRPr="00B95695" w:rsidRDefault="009420B2" w:rsidP="003D70EE">
            <w:pPr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</w:tbl>
    <w:p w:rsidR="009420B2" w:rsidRDefault="009420B2" w:rsidP="009420B2">
      <w:pPr>
        <w:rPr>
          <w:rFonts w:ascii="Times New Roman" w:hAnsi="Times New Roman"/>
          <w:sz w:val="24"/>
          <w:szCs w:val="24"/>
        </w:rPr>
      </w:pPr>
    </w:p>
    <w:p w:rsidR="009420B2" w:rsidRDefault="009420B2" w:rsidP="009420B2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C91D4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t xml:space="preserve">Комментарий: Здесь приводятся вопросы к экзамену, примеры задач, тем для самостоятельной работы обучающихся и т.п. 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lastRenderedPageBreak/>
        <w:t xml:space="preserve">Промежуточная аттестация – экзамен (зачет), </w:t>
      </w:r>
      <w:r w:rsidRPr="009420B2">
        <w:rPr>
          <w:rFonts w:ascii="Times New Roman" w:hAnsi="Times New Roman"/>
          <w:b/>
          <w:color w:val="FF0000"/>
          <w:sz w:val="28"/>
          <w:szCs w:val="24"/>
        </w:rPr>
        <w:t>вопросы к экзамену (зачету) обязательны.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t xml:space="preserve">Текущий контроль успеваемости – обязательный контроль, проводимый в течение семестра. Тип этого контроля определяется лектором и зависит от дисциплины. Это может быть, например,  контрольная работа, коллоквиум, задачи для самостоятельного решения (с последующей проверкой),  темы для самостоятельного изучения (с последующим обсуждением) и т.п. Текущий контроль для годового спецкурса желательно провести три раза:  в середине осеннего семестра, в конце осеннего семестра, в середине весеннего семестра. 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  <w:r w:rsidRPr="009420B2">
        <w:rPr>
          <w:rFonts w:ascii="Times New Roman" w:hAnsi="Times New Roman"/>
          <w:color w:val="FF0000"/>
          <w:sz w:val="24"/>
          <w:szCs w:val="24"/>
        </w:rPr>
        <w:t xml:space="preserve">В зависимости от типа текущего контроля  нужно </w:t>
      </w:r>
      <w:r w:rsidRPr="009420B2">
        <w:rPr>
          <w:rFonts w:ascii="Times New Roman" w:hAnsi="Times New Roman"/>
          <w:b/>
          <w:color w:val="FF0000"/>
          <w:sz w:val="28"/>
          <w:szCs w:val="24"/>
        </w:rPr>
        <w:t>обязательно привести здесь и соответствующие материалы.</w:t>
      </w:r>
      <w:r w:rsidRPr="009420B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</w:p>
    <w:p w:rsidR="009420B2" w:rsidRPr="009420B2" w:rsidRDefault="009420B2" w:rsidP="009420B2">
      <w:pPr>
        <w:rPr>
          <w:rFonts w:ascii="Times New Roman" w:hAnsi="Times New Roman"/>
          <w:color w:val="FF0000"/>
          <w:sz w:val="24"/>
          <w:szCs w:val="24"/>
        </w:rPr>
      </w:pPr>
    </w:p>
    <w:p w:rsidR="009420B2" w:rsidRDefault="009420B2" w:rsidP="009420B2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B95695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 xml:space="preserve">основной и </w:t>
      </w:r>
      <w:r w:rsidRPr="00B95695">
        <w:rPr>
          <w:rFonts w:ascii="Times New Roman" w:hAnsi="Times New Roman"/>
          <w:sz w:val="24"/>
          <w:szCs w:val="24"/>
        </w:rPr>
        <w:t xml:space="preserve">дополнительной учебной литературы: </w:t>
      </w:r>
    </w:p>
    <w:p w:rsidR="009420B2" w:rsidRPr="009420B2" w:rsidRDefault="009420B2" w:rsidP="009420B2">
      <w:pPr>
        <w:pStyle w:val="a3"/>
        <w:rPr>
          <w:rFonts w:ascii="Times New Roman" w:hAnsi="Times New Roman"/>
          <w:color w:val="9BBB59" w:themeColor="accent3"/>
          <w:sz w:val="24"/>
          <w:szCs w:val="24"/>
        </w:rPr>
      </w:pPr>
      <w:r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1. </w:t>
      </w:r>
      <w:proofErr w:type="spellStart"/>
      <w:r w:rsidRPr="009420B2">
        <w:rPr>
          <w:rFonts w:ascii="Times New Roman" w:hAnsi="Times New Roman"/>
          <w:color w:val="9BBB59" w:themeColor="accent3"/>
          <w:sz w:val="24"/>
          <w:szCs w:val="24"/>
        </w:rPr>
        <w:t>А.Л.Гаркави</w:t>
      </w:r>
      <w:proofErr w:type="spellEnd"/>
      <w:r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, ''Теория наилучшего приближения в линейных </w:t>
      </w:r>
      <w:r w:rsidR="008F6D4C">
        <w:rPr>
          <w:rFonts w:ascii="Times New Roman" w:hAnsi="Times New Roman"/>
          <w:color w:val="9BBB59" w:themeColor="accent3"/>
          <w:sz w:val="24"/>
          <w:szCs w:val="24"/>
        </w:rPr>
        <w:t xml:space="preserve">нормированных пространствах'', </w:t>
      </w:r>
      <w:r w:rsidRPr="009420B2">
        <w:rPr>
          <w:rFonts w:ascii="Times New Roman" w:hAnsi="Times New Roman"/>
          <w:color w:val="9BBB59" w:themeColor="accent3"/>
          <w:sz w:val="24"/>
          <w:szCs w:val="24"/>
        </w:rPr>
        <w:t>Итоги науки. Математический анализ, М.: ВИНИТИ, 1969. С. 75--132.</w:t>
      </w:r>
    </w:p>
    <w:p w:rsidR="009420B2" w:rsidRPr="009420B2" w:rsidRDefault="008F6D4C" w:rsidP="009420B2">
      <w:pPr>
        <w:pStyle w:val="a3"/>
        <w:rPr>
          <w:rFonts w:ascii="Times New Roman" w:hAnsi="Times New Roman"/>
          <w:color w:val="9BBB59" w:themeColor="accent3"/>
          <w:sz w:val="24"/>
          <w:szCs w:val="24"/>
        </w:rPr>
      </w:pPr>
      <w:r>
        <w:rPr>
          <w:rFonts w:ascii="Times New Roman" w:hAnsi="Times New Roman"/>
          <w:color w:val="9BBB59" w:themeColor="accent3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9BBB59" w:themeColor="accent3"/>
          <w:sz w:val="24"/>
          <w:szCs w:val="24"/>
        </w:rPr>
        <w:t>Дж.Дистель</w:t>
      </w:r>
      <w:proofErr w:type="spellEnd"/>
      <w:r>
        <w:rPr>
          <w:rFonts w:ascii="Times New Roman" w:hAnsi="Times New Roman"/>
          <w:color w:val="9BBB59" w:themeColor="accent3"/>
          <w:sz w:val="24"/>
          <w:szCs w:val="24"/>
        </w:rPr>
        <w:t>,</w:t>
      </w:r>
      <w:r w:rsidR="009420B2"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 Геометрия </w:t>
      </w:r>
      <w:proofErr w:type="spellStart"/>
      <w:r w:rsidR="009420B2" w:rsidRPr="009420B2">
        <w:rPr>
          <w:rFonts w:ascii="Times New Roman" w:hAnsi="Times New Roman"/>
          <w:color w:val="9BBB59" w:themeColor="accent3"/>
          <w:sz w:val="24"/>
          <w:szCs w:val="24"/>
        </w:rPr>
        <w:t>банаховых</w:t>
      </w:r>
      <w:proofErr w:type="spellEnd"/>
      <w:r w:rsidR="009420B2"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 пространств, </w:t>
      </w:r>
      <w:proofErr w:type="spellStart"/>
      <w:r w:rsidR="009420B2" w:rsidRPr="009420B2">
        <w:rPr>
          <w:rFonts w:ascii="Times New Roman" w:hAnsi="Times New Roman"/>
          <w:color w:val="9BBB59" w:themeColor="accent3"/>
          <w:sz w:val="24"/>
          <w:szCs w:val="24"/>
        </w:rPr>
        <w:t>Вища</w:t>
      </w:r>
      <w:proofErr w:type="spellEnd"/>
      <w:r w:rsidR="009420B2" w:rsidRPr="009420B2">
        <w:rPr>
          <w:rFonts w:ascii="Times New Roman" w:hAnsi="Times New Roman"/>
          <w:color w:val="9BBB59" w:themeColor="accent3"/>
          <w:sz w:val="24"/>
          <w:szCs w:val="24"/>
        </w:rPr>
        <w:t xml:space="preserve"> школа, Киев, 1980. </w:t>
      </w:r>
    </w:p>
    <w:p w:rsidR="009420B2" w:rsidRPr="009420B2" w:rsidRDefault="008F6D4C" w:rsidP="008F6D4C">
      <w:pPr>
        <w:pStyle w:val="a3"/>
        <w:rPr>
          <w:rFonts w:ascii="Times New Roman" w:hAnsi="Times New Roman"/>
          <w:color w:val="9BBB59" w:themeColor="accent3"/>
        </w:rPr>
      </w:pPr>
      <w:r>
        <w:rPr>
          <w:rFonts w:ascii="Times New Roman" w:hAnsi="Times New Roman"/>
          <w:color w:val="9BBB59" w:themeColor="accent3"/>
          <w:sz w:val="24"/>
          <w:szCs w:val="24"/>
          <w:lang w:val="en-US"/>
        </w:rPr>
        <w:t>3</w:t>
      </w:r>
      <w:r w:rsidR="009420B2" w:rsidRPr="009420B2">
        <w:rPr>
          <w:rFonts w:ascii="Times New Roman" w:hAnsi="Times New Roman"/>
          <w:color w:val="9BBB59" w:themeColor="accent3"/>
          <w:sz w:val="24"/>
          <w:szCs w:val="24"/>
          <w:lang w:val="en-US"/>
        </w:rPr>
        <w:t xml:space="preserve">. </w:t>
      </w:r>
    </w:p>
    <w:p w:rsidR="009420B2" w:rsidRPr="009420B2" w:rsidRDefault="008F6D4C" w:rsidP="009420B2">
      <w:pPr>
        <w:rPr>
          <w:rFonts w:ascii="Times New Roman" w:hAnsi="Times New Roman"/>
          <w:color w:val="9BBB59" w:themeColor="accent3"/>
        </w:rPr>
      </w:pPr>
      <w:r>
        <w:rPr>
          <w:rFonts w:ascii="Times New Roman" w:hAnsi="Times New Roman"/>
          <w:color w:val="9BBB59" w:themeColor="accent3"/>
        </w:rPr>
        <w:t>…</w:t>
      </w:r>
    </w:p>
    <w:p w:rsidR="009420B2" w:rsidRPr="00D1438C" w:rsidRDefault="009420B2" w:rsidP="009420B2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D1438C">
        <w:rPr>
          <w:rFonts w:ascii="Times New Roman" w:hAnsi="Times New Roman"/>
          <w:sz w:val="24"/>
          <w:szCs w:val="24"/>
        </w:rPr>
        <w:t>Перечень ресурсов информационно-телекоммуникационной сети «Интернет»:</w:t>
      </w:r>
    </w:p>
    <w:p w:rsidR="009420B2" w:rsidRPr="00D96588" w:rsidRDefault="008F6D4C" w:rsidP="009420B2">
      <w:pPr>
        <w:rPr>
          <w:rFonts w:ascii="Times New Roman" w:hAnsi="Times New Roman"/>
          <w:color w:val="76923C"/>
          <w:sz w:val="24"/>
        </w:rPr>
      </w:pPr>
      <w:hyperlink r:id="rId5" w:history="1">
        <w:r w:rsidR="009420B2" w:rsidRPr="0048609B">
          <w:rPr>
            <w:rFonts w:ascii="Times New Roman" w:hAnsi="Times New Roman"/>
            <w:color w:val="76923C"/>
            <w:sz w:val="24"/>
          </w:rPr>
          <w:t>www.mathnet.ru</w:t>
        </w:r>
      </w:hyperlink>
    </w:p>
    <w:p w:rsidR="009420B2" w:rsidRPr="00D96588" w:rsidRDefault="009420B2" w:rsidP="009420B2">
      <w:pPr>
        <w:rPr>
          <w:rFonts w:ascii="Times New Roman" w:hAnsi="Times New Roman"/>
          <w:color w:val="76923C"/>
          <w:sz w:val="24"/>
          <w:szCs w:val="24"/>
        </w:rPr>
      </w:pPr>
    </w:p>
    <w:p w:rsidR="009420B2" w:rsidRPr="002D548D" w:rsidRDefault="008F6D4C" w:rsidP="009420B2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утверждена </w:t>
      </w:r>
      <w:r w:rsidR="009420B2" w:rsidRPr="002D548D">
        <w:rPr>
          <w:rFonts w:ascii="Times New Roman" w:hAnsi="Times New Roman"/>
          <w:b/>
          <w:sz w:val="24"/>
          <w:szCs w:val="24"/>
        </w:rPr>
        <w:t xml:space="preserve">на заседании </w:t>
      </w:r>
      <w:r w:rsidR="009420B2" w:rsidRPr="009420B2">
        <w:rPr>
          <w:rFonts w:ascii="Times New Roman" w:hAnsi="Times New Roman"/>
          <w:b/>
          <w:color w:val="9BBB59" w:themeColor="accent3"/>
          <w:sz w:val="24"/>
          <w:szCs w:val="24"/>
        </w:rPr>
        <w:t>кафедры математического анализа</w:t>
      </w:r>
    </w:p>
    <w:p w:rsidR="00FF70F2" w:rsidRDefault="009420B2" w:rsidP="008F6D4C">
      <w:pPr>
        <w:jc w:val="left"/>
      </w:pPr>
      <w:r w:rsidRPr="002D548D">
        <w:rPr>
          <w:rFonts w:ascii="Times New Roman" w:hAnsi="Times New Roman"/>
          <w:b/>
          <w:sz w:val="24"/>
          <w:szCs w:val="24"/>
        </w:rPr>
        <w:t>Протокол</w:t>
      </w:r>
      <w:r w:rsidRPr="00555021">
        <w:rPr>
          <w:rFonts w:ascii="Times New Roman" w:hAnsi="Times New Roman"/>
          <w:b/>
          <w:color w:val="76923C"/>
          <w:sz w:val="24"/>
          <w:szCs w:val="24"/>
        </w:rPr>
        <w:t xml:space="preserve"> № 6 от 17 декабря 2014 г.</w:t>
      </w:r>
    </w:p>
    <w:sectPr w:rsidR="00FF70F2" w:rsidSect="008330EB">
      <w:pgSz w:w="16838" w:h="11899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C4A"/>
    <w:multiLevelType w:val="hybridMultilevel"/>
    <w:tmpl w:val="51E2E3D0"/>
    <w:lvl w:ilvl="0" w:tplc="FA1485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50E6"/>
    <w:multiLevelType w:val="hybridMultilevel"/>
    <w:tmpl w:val="B8E6F0DA"/>
    <w:lvl w:ilvl="0" w:tplc="8F8681D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B2"/>
    <w:rsid w:val="008F6D4C"/>
    <w:rsid w:val="009420B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E41FA-D086-4BA4-9394-82C457DF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B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420B2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420B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1680</Words>
  <Characters>9579</Characters>
  <Application>Microsoft Office Word</Application>
  <DocSecurity>0</DocSecurity>
  <Lines>79</Lines>
  <Paragraphs>22</Paragraphs>
  <ScaleCrop>false</ScaleCrop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Veronika</cp:lastModifiedBy>
  <cp:revision>2</cp:revision>
  <dcterms:created xsi:type="dcterms:W3CDTF">2018-02-08T19:58:00Z</dcterms:created>
  <dcterms:modified xsi:type="dcterms:W3CDTF">2018-04-20T10:30:00Z</dcterms:modified>
</cp:coreProperties>
</file>